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Purposeful Annotation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Pick one of the following to drive your analysis you need to have 2-3 thoughtful interactions per page.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was the appeal of Buddhism to different societies around the world?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Buddhism adapt and change over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Following the analysis come up with 3 thoughtful questions for our in class 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Fishbowl Method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going to conduct the discussion using a fishbowl method, much like the socratic seminar.  However the teacher will take part and guide some of the discussion as well as prompt students to respond to specific questions at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Write down at least 5 things you can learn from the other groups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