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695950" cy="782478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750" y="257175"/>
                          <a:ext cx="5695950" cy="7824788"/>
                          <a:chOff x="285750" y="257175"/>
                          <a:chExt cx="7124700" cy="529597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285750" y="257175"/>
                            <a:ext cx="7124700" cy="1714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3375" y="2266950"/>
                            <a:ext cx="7067700" cy="328619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733425" y="4962525"/>
                            <a:ext cx="6277200" cy="4856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Illustrated By: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504825" y="542925"/>
                            <a:ext cx="6772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Georgia" w:cs="Georgia" w:eastAsia="Georgia" w:hAnsi="Georgi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The Life of Buddha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95950" cy="7824788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78247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II:  Life in the Palace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III:  Seeing Old 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III:  Seeing Sickness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III:  Seeing the Dead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V:  Leaving the Palace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Book XIV:  The Enlightenment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Annotation: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